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553" w:rsidRDefault="00DF4553" w:rsidP="00DF4553">
      <w:pPr>
        <w:rPr>
          <w:rStyle w:val="ft"/>
          <w:color w:val="984807"/>
        </w:rPr>
      </w:pPr>
    </w:p>
    <w:p w:rsidR="00DF4553" w:rsidRDefault="00DF4553" w:rsidP="00DF4553">
      <w:pPr>
        <w:rPr>
          <w:rStyle w:val="ft"/>
          <w:b/>
          <w:bCs/>
          <w:i/>
          <w:iCs/>
          <w:color w:val="C00000"/>
          <w:u w:val="single"/>
        </w:rPr>
      </w:pPr>
      <w:r>
        <w:rPr>
          <w:rStyle w:val="ft"/>
          <w:color w:val="984807"/>
        </w:rPr>
        <w:t>                             </w:t>
      </w:r>
      <w:r>
        <w:rPr>
          <w:rStyle w:val="ft"/>
          <w:color w:val="984807"/>
        </w:rPr>
        <w:t>          </w:t>
      </w:r>
      <w:proofErr w:type="spellStart"/>
      <w:r>
        <w:rPr>
          <w:rStyle w:val="ft"/>
          <w:b/>
          <w:bCs/>
          <w:i/>
          <w:iCs/>
          <w:color w:val="C00000"/>
          <w:u w:val="single"/>
        </w:rPr>
        <w:t>Yapılacak</w:t>
      </w:r>
      <w:proofErr w:type="spellEnd"/>
      <w:r>
        <w:rPr>
          <w:rStyle w:val="ft"/>
          <w:b/>
          <w:bCs/>
          <w:i/>
          <w:iCs/>
          <w:color w:val="C00000"/>
          <w:u w:val="single"/>
        </w:rPr>
        <w:t xml:space="preserve"> </w:t>
      </w:r>
      <w:proofErr w:type="spellStart"/>
      <w:r>
        <w:rPr>
          <w:rStyle w:val="ft"/>
          <w:b/>
          <w:bCs/>
          <w:i/>
          <w:iCs/>
          <w:color w:val="C00000"/>
          <w:u w:val="single"/>
        </w:rPr>
        <w:t>Hes’lerle</w:t>
      </w:r>
      <w:proofErr w:type="spellEnd"/>
      <w:r>
        <w:rPr>
          <w:rStyle w:val="ft"/>
          <w:b/>
          <w:bCs/>
          <w:i/>
          <w:iCs/>
          <w:color w:val="C00000"/>
          <w:u w:val="single"/>
        </w:rPr>
        <w:t xml:space="preserve"> </w:t>
      </w:r>
      <w:proofErr w:type="spellStart"/>
      <w:r>
        <w:rPr>
          <w:rStyle w:val="ft"/>
          <w:b/>
          <w:bCs/>
          <w:i/>
          <w:iCs/>
          <w:color w:val="C00000"/>
          <w:u w:val="single"/>
        </w:rPr>
        <w:t>ilgili</w:t>
      </w:r>
      <w:proofErr w:type="spellEnd"/>
      <w:r>
        <w:rPr>
          <w:rStyle w:val="ft"/>
          <w:b/>
          <w:bCs/>
          <w:i/>
          <w:iCs/>
          <w:color w:val="C00000"/>
          <w:u w:val="single"/>
        </w:rPr>
        <w:t xml:space="preserve"> </w:t>
      </w:r>
      <w:proofErr w:type="spellStart"/>
      <w:r>
        <w:rPr>
          <w:rStyle w:val="ft"/>
          <w:b/>
          <w:bCs/>
          <w:i/>
          <w:iCs/>
          <w:color w:val="C00000"/>
          <w:u w:val="single"/>
        </w:rPr>
        <w:t>bilgiler</w:t>
      </w:r>
      <w:proofErr w:type="spellEnd"/>
    </w:p>
    <w:p w:rsidR="00DF4553" w:rsidRDefault="00DF4553" w:rsidP="00DF4553"/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Yap İşlet Devret modeli ile imtiyaz anlaşması imzalanacak küçük HES’lerin ihaleleri haziran sonu temmuz başında açıklanacaktır,</w:t>
      </w: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İhaleye çıkacak olan HES’ler ile ilgili özet bilgiler aşağıdaki tabloda verilmiştir;</w:t>
      </w:r>
    </w:p>
    <w:tbl>
      <w:tblPr>
        <w:tblpPr w:leftFromText="180" w:rightFromText="180" w:bottomFromText="56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3477"/>
        <w:gridCol w:w="1408"/>
        <w:gridCol w:w="1479"/>
        <w:gridCol w:w="1042"/>
        <w:gridCol w:w="1218"/>
      </w:tblGrid>
      <w:tr w:rsidR="00DF4553" w:rsidTr="00DF4553">
        <w:trPr>
          <w:trHeight w:val="432"/>
        </w:trPr>
        <w:tc>
          <w:tcPr>
            <w:tcW w:w="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No</w:t>
            </w:r>
          </w:p>
        </w:tc>
        <w:tc>
          <w:tcPr>
            <w:tcW w:w="1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HES’in Bulunduğu Akarsu</w:t>
            </w:r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Ana Kol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Bulunduğu İl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P [MW]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jc w:val="center"/>
              <w:rPr>
                <w:b/>
                <w:bCs/>
                <w:color w:val="000000"/>
                <w:lang w:val="tr-TR"/>
              </w:rPr>
            </w:pPr>
            <w:r>
              <w:rPr>
                <w:b/>
                <w:bCs/>
                <w:color w:val="000000"/>
                <w:lang w:val="tr-TR"/>
              </w:rPr>
              <w:t>E [GWh]</w:t>
            </w:r>
          </w:p>
        </w:tc>
      </w:tr>
      <w:tr w:rsidR="00DF4553" w:rsidTr="00DF4553">
        <w:trPr>
          <w:trHeight w:val="304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Bukovica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Komarnica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Şavnik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3,2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14,2</w:t>
            </w:r>
          </w:p>
        </w:tc>
      </w:tr>
      <w:tr w:rsidR="00DF4553" w:rsidTr="00DF4553">
        <w:trPr>
          <w:trHeight w:val="336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2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Bijela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Komarnica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Şavnik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5,4</w:t>
            </w:r>
          </w:p>
        </w:tc>
      </w:tr>
      <w:tr w:rsidR="00DF4553" w:rsidTr="00DF4553">
        <w:trPr>
          <w:trHeight w:val="331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3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Bistrica,  Ljuboviđe’nin yan kolu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Lim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Bijelo Polje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1,5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7,4</w:t>
            </w:r>
          </w:p>
        </w:tc>
      </w:tr>
      <w:tr w:rsidR="00DF4553" w:rsidTr="00DF4553">
        <w:trPr>
          <w:trHeight w:val="3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4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Kraštica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Lim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Andrijevica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0,8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3,1</w:t>
            </w:r>
          </w:p>
        </w:tc>
      </w:tr>
      <w:tr w:rsidR="00DF4553" w:rsidTr="00DF4553">
        <w:trPr>
          <w:trHeight w:val="3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5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Velička Nehri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Lim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Plav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0,3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1,5</w:t>
            </w:r>
          </w:p>
        </w:tc>
      </w:tr>
      <w:tr w:rsidR="00DF4553" w:rsidTr="00DF4553">
        <w:trPr>
          <w:trHeight w:val="295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6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Đurička Nehri yan kollarıyla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Lim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Plav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1,4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6,0</w:t>
            </w:r>
          </w:p>
        </w:tc>
      </w:tr>
      <w:tr w:rsidR="00DF4553" w:rsidTr="00DF4553">
        <w:trPr>
          <w:trHeight w:val="3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7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Kaludarska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Lim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Berane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0,9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4,5</w:t>
            </w:r>
          </w:p>
        </w:tc>
      </w:tr>
      <w:tr w:rsidR="00DF4553" w:rsidTr="00DF4553">
        <w:trPr>
          <w:trHeight w:val="300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8</w:t>
            </w:r>
          </w:p>
        </w:tc>
        <w:tc>
          <w:tcPr>
            <w:tcW w:w="1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Vrbnica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Piva Gölü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Plužine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2,8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4553" w:rsidRDefault="00DF4553">
            <w:pPr>
              <w:spacing w:after="200"/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12,7</w:t>
            </w:r>
          </w:p>
        </w:tc>
      </w:tr>
    </w:tbl>
    <w:p w:rsidR="00DF4553" w:rsidRDefault="00DF4553" w:rsidP="00DF4553">
      <w:pPr>
        <w:rPr>
          <w:b/>
          <w:bCs/>
          <w:lang w:val="tr-TR"/>
        </w:rPr>
      </w:pPr>
      <w:r>
        <w:rPr>
          <w:b/>
          <w:bCs/>
          <w:lang w:val="tr-TR"/>
        </w:rPr>
        <w:t>                 </w:t>
      </w:r>
    </w:p>
    <w:p w:rsidR="00DF4553" w:rsidRDefault="00DF4553" w:rsidP="00DF4553">
      <w:pPr>
        <w:jc w:val="both"/>
        <w:rPr>
          <w:lang w:val="tr-TR"/>
        </w:rPr>
      </w:pPr>
      <w:r>
        <w:rPr>
          <w:b/>
          <w:bCs/>
          <w:lang w:val="tr-TR"/>
        </w:rPr>
        <w:t xml:space="preserve">            P – </w:t>
      </w:r>
      <w:r>
        <w:rPr>
          <w:lang w:val="tr-TR"/>
        </w:rPr>
        <w:t xml:space="preserve">Öngörülen Kurulu Güç  </w:t>
      </w:r>
      <w:r>
        <w:rPr>
          <w:b/>
          <w:bCs/>
          <w:lang w:val="tr-TR"/>
        </w:rPr>
        <w:t>E</w:t>
      </w:r>
      <w:r>
        <w:rPr>
          <w:lang w:val="tr-TR"/>
        </w:rPr>
        <w:t xml:space="preserve"> – Öngörülen Yıllık Ortalama Enerji Üretimi</w:t>
      </w:r>
    </w:p>
    <w:p w:rsidR="00DF4553" w:rsidRDefault="00DF4553" w:rsidP="00DF4553">
      <w:pPr>
        <w:jc w:val="both"/>
        <w:rPr>
          <w:lang w:val="tr-TR"/>
        </w:rPr>
      </w:pP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İhaleye hazırlık süresi  yaklaşık 4 ay olup, şirketler bu süre içerisinde tekliflerini sunabileceklerdir,</w:t>
      </w: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İhale 18 Kasım 2013 Tarihinde saat 2’de yapılacaktır.</w:t>
      </w:r>
      <w:bookmarkStart w:id="0" w:name="_GoBack"/>
      <w:bookmarkEnd w:id="0"/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İmtiyaz süreci 30 yıl olarak öngörülmektedir (bu sürenin bitiminde 15 sene daha aynı şirket ile imtiyaz sözleşmesinin uzatılması imkanı bulunmaktadır),</w:t>
      </w: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İmtiyaz bedeli sabit olup küçük HES’in planlanan yıllık üretimininin %6.5’idir,</w:t>
      </w: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Tüm sorular </w:t>
      </w:r>
      <w:hyperlink r:id="rId6" w:history="1">
        <w:r>
          <w:rPr>
            <w:rStyle w:val="Hyperlink"/>
            <w:sz w:val="24"/>
            <w:szCs w:val="24"/>
            <w:lang w:val="tr-TR"/>
          </w:rPr>
          <w:t>mhe.koncesije@mek.gov.me</w:t>
        </w:r>
      </w:hyperlink>
      <w:r>
        <w:rPr>
          <w:sz w:val="24"/>
          <w:szCs w:val="24"/>
          <w:lang w:val="tr-TR"/>
        </w:rPr>
        <w:t xml:space="preserve"> adresine gönderilebilir,</w:t>
      </w:r>
    </w:p>
    <w:p w:rsidR="00DF4553" w:rsidRDefault="00DF4553" w:rsidP="00DF45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Tüm gerekli bilgilere aşağıdaki adreslerden ulaşilabilir;</w:t>
      </w:r>
    </w:p>
    <w:p w:rsidR="00DF4553" w:rsidRDefault="00DF4553" w:rsidP="00DF4553">
      <w:pPr>
        <w:pStyle w:val="ListParagraph"/>
        <w:ind w:left="1080"/>
        <w:jc w:val="both"/>
        <w:rPr>
          <w:sz w:val="24"/>
          <w:szCs w:val="24"/>
          <w:lang w:val="tr-TR"/>
        </w:rPr>
      </w:pPr>
      <w:hyperlink r:id="rId7" w:history="1">
        <w:r>
          <w:rPr>
            <w:rStyle w:val="Hyperlink"/>
            <w:sz w:val="24"/>
            <w:szCs w:val="24"/>
            <w:lang w:val="tr-TR"/>
          </w:rPr>
          <w:t>www.oie-res.me</w:t>
        </w:r>
      </w:hyperlink>
      <w:r>
        <w:rPr>
          <w:sz w:val="24"/>
          <w:szCs w:val="24"/>
        </w:rPr>
        <w:t xml:space="preserve"> </w:t>
      </w:r>
    </w:p>
    <w:p w:rsidR="00DF4553" w:rsidRDefault="00DF4553" w:rsidP="00DF4553">
      <w:pPr>
        <w:pStyle w:val="ListParagraph"/>
        <w:ind w:left="1080"/>
        <w:jc w:val="both"/>
        <w:rPr>
          <w:sz w:val="24"/>
          <w:szCs w:val="24"/>
          <w:lang w:val="tr-TR"/>
        </w:rPr>
      </w:pPr>
      <w:hyperlink r:id="rId8" w:history="1">
        <w:r>
          <w:rPr>
            <w:rStyle w:val="Hyperlink"/>
            <w:sz w:val="24"/>
            <w:szCs w:val="24"/>
            <w:lang w:val="tr-TR"/>
          </w:rPr>
          <w:t>www.mek.gov.me</w:t>
        </w:r>
      </w:hyperlink>
      <w:r>
        <w:rPr>
          <w:sz w:val="24"/>
          <w:szCs w:val="24"/>
        </w:rPr>
        <w:t xml:space="preserve"> </w:t>
      </w:r>
    </w:p>
    <w:p w:rsidR="00F34890" w:rsidRPr="00DF4553" w:rsidRDefault="00F34890" w:rsidP="00DF4553"/>
    <w:sectPr w:rsidR="00F34890" w:rsidRPr="00DF4553" w:rsidSect="00276AE3">
      <w:pgSz w:w="11906" w:h="16838"/>
      <w:pgMar w:top="3312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31C1C"/>
    <w:multiLevelType w:val="hybridMultilevel"/>
    <w:tmpl w:val="BE0E9806"/>
    <w:lvl w:ilvl="0" w:tplc="ED5EBD4C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553"/>
    <w:rsid w:val="00276AE3"/>
    <w:rsid w:val="00453606"/>
    <w:rsid w:val="00DF4553"/>
    <w:rsid w:val="00E95EC8"/>
    <w:rsid w:val="00F3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553"/>
    <w:pPr>
      <w:spacing w:after="0"/>
      <w:ind w:left="0" w:firstLine="0"/>
      <w:jc w:val="left"/>
    </w:pPr>
    <w:rPr>
      <w:rFonts w:ascii="Times New Roman" w:hAnsi="Times New Roman" w:cs="Times New Roman"/>
      <w:color w:val="6633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4553"/>
    <w:rPr>
      <w:color w:val="990066"/>
      <w:u w:val="single"/>
    </w:rPr>
  </w:style>
  <w:style w:type="paragraph" w:styleId="ListParagraph">
    <w:name w:val="List Paragraph"/>
    <w:basedOn w:val="Normal"/>
    <w:uiPriority w:val="34"/>
    <w:qFormat/>
    <w:rsid w:val="00DF4553"/>
    <w:pPr>
      <w:spacing w:after="200" w:line="276" w:lineRule="auto"/>
      <w:ind w:left="720"/>
      <w:contextualSpacing/>
    </w:pPr>
    <w:rPr>
      <w:color w:val="auto"/>
      <w:sz w:val="22"/>
      <w:szCs w:val="22"/>
    </w:rPr>
  </w:style>
  <w:style w:type="character" w:customStyle="1" w:styleId="ft">
    <w:name w:val="ft"/>
    <w:basedOn w:val="DefaultParagraphFont"/>
    <w:rsid w:val="00DF45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553"/>
    <w:pPr>
      <w:spacing w:after="0"/>
      <w:ind w:left="0" w:firstLine="0"/>
      <w:jc w:val="left"/>
    </w:pPr>
    <w:rPr>
      <w:rFonts w:ascii="Times New Roman" w:hAnsi="Times New Roman" w:cs="Times New Roman"/>
      <w:color w:val="6633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4553"/>
    <w:rPr>
      <w:color w:val="990066"/>
      <w:u w:val="single"/>
    </w:rPr>
  </w:style>
  <w:style w:type="paragraph" w:styleId="ListParagraph">
    <w:name w:val="List Paragraph"/>
    <w:basedOn w:val="Normal"/>
    <w:uiPriority w:val="34"/>
    <w:qFormat/>
    <w:rsid w:val="00DF4553"/>
    <w:pPr>
      <w:spacing w:after="200" w:line="276" w:lineRule="auto"/>
      <w:ind w:left="720"/>
      <w:contextualSpacing/>
    </w:pPr>
    <w:rPr>
      <w:color w:val="auto"/>
      <w:sz w:val="22"/>
      <w:szCs w:val="22"/>
    </w:rPr>
  </w:style>
  <w:style w:type="character" w:customStyle="1" w:styleId="ft">
    <w:name w:val="ft"/>
    <w:basedOn w:val="DefaultParagraphFont"/>
    <w:rsid w:val="00DF4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k.gov.m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ie-res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he.koncesije@mek.gov.m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2013-07-13T12:47:00Z</dcterms:created>
  <dcterms:modified xsi:type="dcterms:W3CDTF">2013-07-13T12:50:00Z</dcterms:modified>
</cp:coreProperties>
</file>